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A1 21 177 vom 19. Juli 2022</w:t>
      </w:r>
    </w:p>
    <w:p>
      <w:r>
        <w:t>VS Kantonsgericht, 2022-07-19, FR</w:t>
      </w:r>
    </w:p>
    <w:p>
      <w:r>
        <w:rPr>
          <w:b/>
        </w:rPr>
        <w:t xml:space="preserve">Quelle: </w:t>
      </w:r>
      <w:r>
        <w:t>https://mcp.opencaselaw.ch/entscheid/vs_gerichte_A1 21 177</w:t>
      </w:r>
    </w:p>
    <w:p>
      <w:r>
        <w:t>FR: VS_GERICHTE A1 21 177 du 19 juillet 2022</w:t>
      </w:r>
    </w:p>
    <w:p>
      <w:r>
        <w:t>IT: VS_GERICHTE A1 21 177 del 19 luglio 2022</w:t>
      </w:r>
    </w:p>
    <w:p>
      <w:pPr>
        <w:pStyle w:val="Heading2"/>
      </w:pPr>
      <w:r>
        <w:t>Regeste</w:t>
      </w:r>
    </w:p>
    <w:p>
      <w:r>
        <w:t>A1 21 177 DÉCISION DU 19 JUILLET 2022 Tribunal cantonal du Valais Cour de droit public Christophe Joris, juge unique ; rendue en la cause opposant X _________, recourant, représenté par Maître Christophe Tafelmacher, avocat, 1002 Lausanne, et le Service de la population et des migrations, autorité attaquée, 1950 Sion. (décision sur frais et dépens + octroi de l’assistance judiciaire)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août 2021 (évalué à 2h), du « mémoire complémentaire » du 13 septembre 2021 (évalué à 1h30, cette écriture reprenant plusieurs arguments déjà développés précédemment) et des brefs courriers des 7 et juillet 2022 (évalué à 10 mn) justifie une indemnité de 850 fr. (TVA comprise) ; que s’ajoutent à ce montant les débours pour les frais de copie (calculés à 0,50 cts l’unité [cf. ATF 118 Ib 349 consid. 5a], soit 25 fr.) et les frais de port (calculés au tarif usuel), soit 30 francs ; qu’en définitive, l’Etat du Valais versera à Me Christophe Tafelmacher 880 fr. au titre de l’assistance judiciaire. qu’il est renoncé à percevoir un émolument pour la présente décision sur recours (art. 14 al. 2 LTar) ;</w:t>
      </w:r>
    </w:p>
    <w:p>
      <w:r>
        <w:t>Par ces motifs, le juge unique prononce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